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92F7" w14:textId="77777777" w:rsidR="00C336F9" w:rsidRPr="006619E9" w:rsidRDefault="00C336F9" w:rsidP="00C336F9">
      <w:pPr>
        <w:pStyle w:val="Heading1"/>
      </w:pPr>
      <w:r w:rsidRPr="006619E9">
        <w:t>Reconfiguring Special Access Service Arrangements to Combinations of Unbundled Network Elements (UNEs)</w:t>
      </w:r>
    </w:p>
    <w:p w14:paraId="0CB6F2D0" w14:textId="77777777" w:rsidR="00C336F9" w:rsidRPr="006619E9" w:rsidRDefault="00C336F9" w:rsidP="00C336F9"/>
    <w:p w14:paraId="618DCA4F" w14:textId="77777777" w:rsidR="00C336F9" w:rsidRPr="006619E9" w:rsidRDefault="00C336F9" w:rsidP="00C336F9">
      <w:r w:rsidRPr="006619E9">
        <w:t xml:space="preserve">This document is intended to describe the self-certification criteria required </w:t>
      </w:r>
      <w:proofErr w:type="gramStart"/>
      <w:r w:rsidRPr="006619E9">
        <w:t>in order for</w:t>
      </w:r>
      <w:proofErr w:type="gramEnd"/>
      <w:r w:rsidRPr="006619E9">
        <w:t xml:space="preserve"> Telecommunications Carriers to reconfigure or convert existing special access service arrangements to combinations of UNEs.  The criteria in Section I below is based upon the definitions promulgated by the Federal Communications Commission (FCC) in In the Matter of Implementation of the Local Competition Provisions of the Telecommunications Act of 1996, CC Docket No. 96-98, </w:t>
      </w:r>
      <w:r w:rsidRPr="002950C2">
        <w:rPr>
          <w:u w:val="single"/>
        </w:rPr>
        <w:t>Supplemental Order Clarification</w:t>
      </w:r>
      <w:r w:rsidRPr="006619E9">
        <w:t>, FCC 00-183 (released June 2, 2000).</w:t>
      </w:r>
    </w:p>
    <w:p w14:paraId="1797341C" w14:textId="77777777" w:rsidR="00C336F9" w:rsidRPr="006619E9" w:rsidRDefault="00C336F9" w:rsidP="00C336F9"/>
    <w:p w14:paraId="1EB6CFDE" w14:textId="77777777" w:rsidR="00C336F9" w:rsidRPr="006619E9" w:rsidRDefault="00C336F9" w:rsidP="00C336F9"/>
    <w:p w14:paraId="66514C3E" w14:textId="77777777" w:rsidR="00C336F9" w:rsidRPr="006619E9" w:rsidRDefault="00C336F9" w:rsidP="00C336F9">
      <w:pPr>
        <w:pStyle w:val="Heading2"/>
      </w:pPr>
      <w:r>
        <w:t xml:space="preserve">I. </w:t>
      </w:r>
      <w:r w:rsidRPr="006619E9">
        <w:t>Qualification Criteria</w:t>
      </w:r>
    </w:p>
    <w:p w14:paraId="57E6C322" w14:textId="77777777" w:rsidR="00C336F9" w:rsidRPr="006619E9" w:rsidRDefault="00C336F9" w:rsidP="00C336F9"/>
    <w:p w14:paraId="4AD8DCAC" w14:textId="77777777" w:rsidR="00C336F9" w:rsidRPr="006619E9" w:rsidRDefault="00C336F9" w:rsidP="00C336F9">
      <w:pPr>
        <w:pStyle w:val="Heading2"/>
      </w:pPr>
      <w:r>
        <w:t xml:space="preserve">A. </w:t>
      </w:r>
      <w:r w:rsidRPr="006619E9">
        <w:t xml:space="preserve">Loop and Transport Combinations </w:t>
      </w:r>
    </w:p>
    <w:p w14:paraId="7C968CD8" w14:textId="77777777" w:rsidR="00C336F9" w:rsidRPr="006619E9" w:rsidRDefault="00C336F9" w:rsidP="00C336F9"/>
    <w:p w14:paraId="36A63CEB" w14:textId="77777777" w:rsidR="00C336F9" w:rsidRPr="006619E9" w:rsidRDefault="00C336F9" w:rsidP="00C336F9">
      <w:r w:rsidRPr="006619E9">
        <w:t xml:space="preserve">Requesting carriers may reconfigure </w:t>
      </w:r>
      <w:proofErr w:type="gramStart"/>
      <w:r w:rsidRPr="006619E9">
        <w:t>a special access</w:t>
      </w:r>
      <w:proofErr w:type="gramEnd"/>
      <w:r w:rsidRPr="006619E9">
        <w:t xml:space="preserve"> service arrangement to a combination of unbundled loop and transport network elements when the requesting carrier provides a “significant amount of local exchange service” (</w:t>
      </w:r>
      <w:r w:rsidRPr="002950C2">
        <w:rPr>
          <w:u w:val="single"/>
        </w:rPr>
        <w:t>Supplemental Order Clarification</w:t>
      </w:r>
      <w:r w:rsidRPr="006619E9">
        <w:t xml:space="preserve"> at para. 22.).  The </w:t>
      </w:r>
      <w:proofErr w:type="gramStart"/>
      <w:r w:rsidRPr="006619E9">
        <w:t>special access</w:t>
      </w:r>
      <w:proofErr w:type="gramEnd"/>
      <w:r w:rsidRPr="006619E9">
        <w:t xml:space="preserve"> service arrangement must meet the criteria of one of the following options:</w:t>
      </w:r>
    </w:p>
    <w:p w14:paraId="227BE65A" w14:textId="77777777" w:rsidR="00C336F9" w:rsidRPr="006619E9" w:rsidRDefault="00C336F9" w:rsidP="00C336F9"/>
    <w:p w14:paraId="0640E284" w14:textId="77777777" w:rsidR="00C336F9" w:rsidRPr="002950C2" w:rsidRDefault="00C336F9" w:rsidP="00C336F9">
      <w:pPr>
        <w:pStyle w:val="Heading2"/>
        <w:rPr>
          <w:u w:val="single"/>
        </w:rPr>
      </w:pPr>
      <w:r w:rsidRPr="002950C2">
        <w:rPr>
          <w:u w:val="single"/>
        </w:rPr>
        <w:t>Option I</w:t>
      </w:r>
    </w:p>
    <w:p w14:paraId="023E90F0" w14:textId="77777777" w:rsidR="00C336F9" w:rsidRPr="006619E9" w:rsidRDefault="00C336F9" w:rsidP="00C336F9">
      <w:pPr>
        <w:numPr>
          <w:ilvl w:val="0"/>
          <w:numId w:val="1"/>
        </w:numPr>
      </w:pPr>
      <w:r w:rsidRPr="006619E9">
        <w:t>The telecommunications carrier is the exclusive provider of an end user’s local exchange service</w:t>
      </w:r>
    </w:p>
    <w:p w14:paraId="354AF665" w14:textId="77777777" w:rsidR="00C336F9" w:rsidRPr="006619E9" w:rsidRDefault="00C336F9" w:rsidP="00C336F9">
      <w:pPr>
        <w:numPr>
          <w:ilvl w:val="0"/>
          <w:numId w:val="1"/>
        </w:numPr>
      </w:pPr>
      <w:r w:rsidRPr="006619E9">
        <w:t>Collocation is required for this option</w:t>
      </w:r>
    </w:p>
    <w:p w14:paraId="17DB44CE" w14:textId="77777777" w:rsidR="00C336F9" w:rsidRPr="006619E9" w:rsidRDefault="00C336F9" w:rsidP="00C336F9">
      <w:pPr>
        <w:numPr>
          <w:ilvl w:val="0"/>
          <w:numId w:val="1"/>
        </w:numPr>
      </w:pPr>
      <w:r w:rsidRPr="006619E9">
        <w:t>This option does not allow loop-transport combinations to be connected to incumbent LEC’s tariffed services</w:t>
      </w:r>
    </w:p>
    <w:p w14:paraId="51EB6196" w14:textId="77777777" w:rsidR="00C336F9" w:rsidRPr="006619E9" w:rsidRDefault="00C336F9" w:rsidP="00C336F9"/>
    <w:p w14:paraId="4E0B8DA9" w14:textId="77777777" w:rsidR="00C336F9" w:rsidRPr="002950C2" w:rsidRDefault="00C336F9" w:rsidP="00C336F9">
      <w:pPr>
        <w:pStyle w:val="Heading2"/>
        <w:rPr>
          <w:u w:val="single"/>
        </w:rPr>
      </w:pPr>
      <w:r w:rsidRPr="002950C2">
        <w:rPr>
          <w:u w:val="single"/>
        </w:rPr>
        <w:t>Option II</w:t>
      </w:r>
    </w:p>
    <w:p w14:paraId="2C4661E4" w14:textId="77777777" w:rsidR="00C336F9" w:rsidRPr="006619E9" w:rsidRDefault="00C336F9" w:rsidP="00C336F9">
      <w:pPr>
        <w:numPr>
          <w:ilvl w:val="0"/>
          <w:numId w:val="2"/>
        </w:numPr>
      </w:pPr>
      <w:r w:rsidRPr="006619E9">
        <w:t xml:space="preserve">The telecommunications carrier provides local exchange access service to the end user customer and handles at least one third (33 %) of the end user-customer’s local traffic measured as a percent of total end user customer lines and </w:t>
      </w:r>
    </w:p>
    <w:p w14:paraId="232624F9" w14:textId="77777777" w:rsidR="00C336F9" w:rsidRPr="006619E9" w:rsidRDefault="00C336F9" w:rsidP="00C336F9">
      <w:pPr>
        <w:numPr>
          <w:ilvl w:val="0"/>
          <w:numId w:val="2"/>
        </w:numPr>
      </w:pPr>
      <w:r w:rsidRPr="006619E9">
        <w:t xml:space="preserve">At least 50% of the activated channels on the loop portion of the loop and transport combination have at least 5% local voice traffic individually and </w:t>
      </w:r>
    </w:p>
    <w:p w14:paraId="09652054" w14:textId="77777777" w:rsidR="00C336F9" w:rsidRPr="006619E9" w:rsidRDefault="00C336F9" w:rsidP="00C336F9">
      <w:pPr>
        <w:numPr>
          <w:ilvl w:val="0"/>
          <w:numId w:val="2"/>
        </w:numPr>
      </w:pPr>
      <w:r w:rsidRPr="006619E9">
        <w:t>The entire loop facility has at least 10% local voice traffic and</w:t>
      </w:r>
    </w:p>
    <w:p w14:paraId="0795EF04" w14:textId="77777777" w:rsidR="00C336F9" w:rsidRPr="006619E9" w:rsidRDefault="00C336F9" w:rsidP="00C336F9">
      <w:pPr>
        <w:numPr>
          <w:ilvl w:val="0"/>
          <w:numId w:val="2"/>
        </w:numPr>
      </w:pPr>
      <w:r w:rsidRPr="006619E9">
        <w:t xml:space="preserve">If a loop-transport combination includes multiplexing (e.g., DS1 multiplexed to DS3 level), each of the individual DS1 circuits meets the above criteria for this option. </w:t>
      </w:r>
    </w:p>
    <w:p w14:paraId="1DFF1E48" w14:textId="77777777" w:rsidR="00C336F9" w:rsidRPr="006619E9" w:rsidRDefault="00C336F9" w:rsidP="00C336F9">
      <w:pPr>
        <w:numPr>
          <w:ilvl w:val="0"/>
          <w:numId w:val="2"/>
        </w:numPr>
      </w:pPr>
      <w:r w:rsidRPr="006619E9">
        <w:t xml:space="preserve">Collocation is required for this option </w:t>
      </w:r>
    </w:p>
    <w:p w14:paraId="5F3981FA" w14:textId="77777777" w:rsidR="00C336F9" w:rsidRPr="006619E9" w:rsidRDefault="00C336F9" w:rsidP="00C336F9">
      <w:pPr>
        <w:numPr>
          <w:ilvl w:val="0"/>
          <w:numId w:val="2"/>
        </w:numPr>
      </w:pPr>
      <w:r w:rsidRPr="006619E9">
        <w:t>This option does not allow loop-transport combinations to be connected to incumbent LEC’s tariffed services</w:t>
      </w:r>
    </w:p>
    <w:p w14:paraId="3C3C3B26" w14:textId="77777777" w:rsidR="00C336F9" w:rsidRPr="006619E9" w:rsidRDefault="00C336F9" w:rsidP="00C336F9"/>
    <w:p w14:paraId="6DB5E6C9" w14:textId="77777777" w:rsidR="00C336F9" w:rsidRPr="002950C2" w:rsidRDefault="00C336F9" w:rsidP="00C336F9">
      <w:pPr>
        <w:pStyle w:val="Heading2"/>
        <w:rPr>
          <w:u w:val="single"/>
        </w:rPr>
      </w:pPr>
      <w:r w:rsidRPr="002950C2">
        <w:rPr>
          <w:u w:val="single"/>
        </w:rPr>
        <w:t>Option III</w:t>
      </w:r>
    </w:p>
    <w:p w14:paraId="76639FE2" w14:textId="77777777" w:rsidR="00C336F9" w:rsidRPr="006619E9" w:rsidRDefault="00C336F9" w:rsidP="00C336F9">
      <w:pPr>
        <w:numPr>
          <w:ilvl w:val="0"/>
          <w:numId w:val="3"/>
        </w:numPr>
      </w:pPr>
      <w:r w:rsidRPr="006619E9">
        <w:t xml:space="preserve">At least 50% of the traffic on at least 50% of the channels on the loop portion of the facility is local voice traffic and </w:t>
      </w:r>
    </w:p>
    <w:p w14:paraId="66F98C79" w14:textId="77777777" w:rsidR="00C336F9" w:rsidRPr="006619E9" w:rsidRDefault="00C336F9" w:rsidP="00C336F9">
      <w:pPr>
        <w:numPr>
          <w:ilvl w:val="0"/>
          <w:numId w:val="3"/>
        </w:numPr>
      </w:pPr>
      <w:r w:rsidRPr="006619E9">
        <w:t xml:space="preserve">The entire loop facility has at least 33% local voice traffic and </w:t>
      </w:r>
    </w:p>
    <w:p w14:paraId="0E8EE30A" w14:textId="77777777" w:rsidR="00C336F9" w:rsidRPr="006619E9" w:rsidRDefault="00C336F9" w:rsidP="00C336F9">
      <w:pPr>
        <w:numPr>
          <w:ilvl w:val="0"/>
          <w:numId w:val="3"/>
        </w:numPr>
      </w:pPr>
      <w:r w:rsidRPr="006619E9">
        <w:t xml:space="preserve">If a loop-transport combination includes multiplexing (e.g., DS1 multiplexed to DS3 level), each of the individual DS1 circuits meets the above criteria for this option </w:t>
      </w:r>
    </w:p>
    <w:p w14:paraId="1AA8AB63" w14:textId="77777777" w:rsidR="00C336F9" w:rsidRPr="006619E9" w:rsidRDefault="00C336F9" w:rsidP="00C336F9">
      <w:pPr>
        <w:numPr>
          <w:ilvl w:val="0"/>
          <w:numId w:val="3"/>
        </w:numPr>
      </w:pPr>
      <w:r w:rsidRPr="006619E9">
        <w:t>Collocation is not required for Option III</w:t>
      </w:r>
    </w:p>
    <w:p w14:paraId="53C3A3A5" w14:textId="77777777" w:rsidR="00C336F9" w:rsidRPr="006619E9" w:rsidRDefault="00C336F9" w:rsidP="00C336F9">
      <w:pPr>
        <w:numPr>
          <w:ilvl w:val="0"/>
          <w:numId w:val="3"/>
        </w:numPr>
      </w:pPr>
      <w:r w:rsidRPr="006619E9">
        <w:t>This option does not allow loop-transport combinations to be connected to incumbent LEC’s tariffed services</w:t>
      </w:r>
    </w:p>
    <w:p w14:paraId="1369D101" w14:textId="77777777" w:rsidR="00C336F9" w:rsidRPr="006619E9" w:rsidRDefault="00C336F9" w:rsidP="00C336F9">
      <w:pPr>
        <w:pStyle w:val="Heading2"/>
      </w:pPr>
      <w:r>
        <w:br w:type="page"/>
      </w:r>
      <w:r>
        <w:lastRenderedPageBreak/>
        <w:t xml:space="preserve">B. </w:t>
      </w:r>
      <w:r w:rsidRPr="006619E9">
        <w:t xml:space="preserve">Loops Terminating in a Collocation Space </w:t>
      </w:r>
    </w:p>
    <w:p w14:paraId="5D83C198" w14:textId="77777777" w:rsidR="00C336F9" w:rsidRPr="006619E9" w:rsidRDefault="00C336F9" w:rsidP="00C336F9"/>
    <w:p w14:paraId="22A6C0D5" w14:textId="77777777" w:rsidR="00C336F9" w:rsidRPr="006619E9" w:rsidRDefault="00C336F9" w:rsidP="00C336F9">
      <w:r w:rsidRPr="006619E9">
        <w:t>Loops that terminate in a collocation space may be purchased as UNEs.</w:t>
      </w:r>
    </w:p>
    <w:p w14:paraId="72407255" w14:textId="77777777" w:rsidR="00C336F9" w:rsidRPr="006619E9" w:rsidRDefault="00C336F9" w:rsidP="00C336F9"/>
    <w:p w14:paraId="2D6F279B" w14:textId="77777777" w:rsidR="00C336F9" w:rsidRPr="006619E9" w:rsidRDefault="00C336F9" w:rsidP="00C336F9">
      <w:pPr>
        <w:pStyle w:val="Heading2"/>
      </w:pPr>
      <w:r>
        <w:t xml:space="preserve">C. </w:t>
      </w:r>
      <w:r w:rsidRPr="006619E9">
        <w:t>Ongoing Qualification</w:t>
      </w:r>
    </w:p>
    <w:p w14:paraId="1C4F418C" w14:textId="77777777" w:rsidR="00C336F9" w:rsidRPr="006619E9" w:rsidRDefault="00C336F9" w:rsidP="00C336F9"/>
    <w:p w14:paraId="27926257" w14:textId="77777777" w:rsidR="00C336F9" w:rsidRPr="006619E9" w:rsidRDefault="00C336F9" w:rsidP="00C336F9">
      <w:r w:rsidRPr="006619E9">
        <w:t xml:space="preserve">A Telecommunications Carrier/ CLEC (TC/CLEC) that has reconfigured </w:t>
      </w:r>
      <w:proofErr w:type="gramStart"/>
      <w:r w:rsidRPr="006619E9">
        <w:t>a special access</w:t>
      </w:r>
      <w:proofErr w:type="gramEnd"/>
      <w:r w:rsidRPr="006619E9">
        <w:t xml:space="preserve"> circuit to UNEs will take reasonable measures, on an ongoing basis to ensure that all certifications remain valid.</w:t>
      </w:r>
    </w:p>
    <w:p w14:paraId="35D36C36" w14:textId="77777777" w:rsidR="00C336F9" w:rsidRPr="006619E9" w:rsidRDefault="00C336F9" w:rsidP="00C336F9"/>
    <w:p w14:paraId="0AEB2DD6" w14:textId="77777777" w:rsidR="00C336F9" w:rsidRPr="006619E9" w:rsidRDefault="00C336F9" w:rsidP="00C336F9"/>
    <w:p w14:paraId="7B4A1287" w14:textId="77777777" w:rsidR="00C336F9" w:rsidRPr="006619E9" w:rsidRDefault="00C336F9" w:rsidP="00C336F9">
      <w:pPr>
        <w:pStyle w:val="Heading1"/>
      </w:pPr>
      <w:r>
        <w:t xml:space="preserve">II. </w:t>
      </w:r>
      <w:r w:rsidRPr="006619E9">
        <w:t>Ordering Requirements</w:t>
      </w:r>
    </w:p>
    <w:p w14:paraId="63B5B030" w14:textId="77777777" w:rsidR="00C336F9" w:rsidRPr="006619E9" w:rsidRDefault="00C336F9" w:rsidP="00C336F9"/>
    <w:p w14:paraId="4C35180C" w14:textId="77777777" w:rsidR="00C336F9" w:rsidRPr="006619E9" w:rsidRDefault="00C336F9" w:rsidP="00C336F9">
      <w:r>
        <w:t>AT&amp;T</w:t>
      </w:r>
      <w:r w:rsidRPr="006619E9">
        <w:t xml:space="preserve"> will accept requests to reconfigure Special Access service arrangements to combinations of UNEs using the existing ordering processes for Unbundled Loops and Unbundled Local Transport with the following modifications:</w:t>
      </w:r>
    </w:p>
    <w:p w14:paraId="2BE872CE" w14:textId="77777777" w:rsidR="00C336F9" w:rsidRPr="006619E9" w:rsidRDefault="00C336F9" w:rsidP="00C336F9"/>
    <w:p w14:paraId="0F8918A3" w14:textId="77777777" w:rsidR="00C336F9" w:rsidRDefault="00C336F9" w:rsidP="00C336F9">
      <w:pPr>
        <w:numPr>
          <w:ilvl w:val="0"/>
          <w:numId w:val="5"/>
        </w:numPr>
      </w:pPr>
      <w:bookmarkStart w:id="0" w:name="_Hlk516742535"/>
      <w:r w:rsidRPr="006619E9">
        <w:t>All reconfigurations of Special Access arrangements to UNEs will be handled as projects.  Critical dates and due dates for all projects are to be negotiated</w:t>
      </w:r>
      <w:bookmarkEnd w:id="0"/>
      <w:r w:rsidRPr="006619E9">
        <w:t xml:space="preserve">. The due dates for all circuits may be the same, but the critical dates will be staggered, based on negotiations made by </w:t>
      </w:r>
      <w:r>
        <w:t>AT&amp;T</w:t>
      </w:r>
      <w:r w:rsidRPr="006619E9">
        <w:t>.</w:t>
      </w:r>
    </w:p>
    <w:p w14:paraId="1982E9DA" w14:textId="77777777" w:rsidR="00C336F9" w:rsidRDefault="00C336F9" w:rsidP="00C336F9">
      <w:pPr>
        <w:ind w:left="360"/>
      </w:pPr>
    </w:p>
    <w:p w14:paraId="4E52125B" w14:textId="77777777" w:rsidR="00C336F9" w:rsidRPr="006619E9" w:rsidRDefault="00C336F9" w:rsidP="00C336F9">
      <w:pPr>
        <w:numPr>
          <w:ilvl w:val="0"/>
          <w:numId w:val="4"/>
        </w:numPr>
      </w:pPr>
      <w:r>
        <w:t>The customer will send the SPA to UNE project spreadsheet to the LSC to request a new project.  The LSC will review the information and provide information back to the customer advising how many circuits can be converted each day.  The project spreadsheet will also include any other key information needed for submitting the ASR &amp; LSR.</w:t>
      </w:r>
    </w:p>
    <w:p w14:paraId="3D9715CF" w14:textId="77777777" w:rsidR="00C336F9" w:rsidRPr="006619E9" w:rsidRDefault="00C336F9" w:rsidP="00C336F9"/>
    <w:p w14:paraId="682C7D7D" w14:textId="77777777" w:rsidR="00C336F9" w:rsidRPr="006619E9" w:rsidRDefault="00C336F9" w:rsidP="00C336F9">
      <w:pPr>
        <w:numPr>
          <w:ilvl w:val="0"/>
          <w:numId w:val="4"/>
        </w:numPr>
      </w:pPr>
      <w:r w:rsidRPr="006619E9">
        <w:t xml:space="preserve">The customer is required to send an ASR </w:t>
      </w:r>
      <w:r>
        <w:t>(to disconnect the SPA circuit)</w:t>
      </w:r>
      <w:r w:rsidRPr="006619E9">
        <w:t xml:space="preserve"> </w:t>
      </w:r>
      <w:r>
        <w:t>and</w:t>
      </w:r>
      <w:r w:rsidRPr="006619E9">
        <w:t xml:space="preserve"> an LSR </w:t>
      </w:r>
      <w:r>
        <w:t>(to establish the UNE circuit)</w:t>
      </w:r>
      <w:r w:rsidRPr="006619E9">
        <w:t xml:space="preserve"> to the LSC.  The customer will include the Special Access Circuit(s) to be converted in the Remarks portion of the LSR</w:t>
      </w:r>
      <w:r>
        <w:t>.</w:t>
      </w:r>
      <w:r w:rsidRPr="006619E9">
        <w:t xml:space="preserve">  The </w:t>
      </w:r>
      <w:r>
        <w:t xml:space="preserve">completion of the ASR for </w:t>
      </w:r>
      <w:r w:rsidRPr="006619E9">
        <w:t xml:space="preserve">the disconnect order </w:t>
      </w:r>
      <w:r>
        <w:t>will</w:t>
      </w:r>
      <w:r w:rsidRPr="006619E9">
        <w:t xml:space="preserve"> stop the billing of the Special Access circuit.  </w:t>
      </w:r>
      <w:r>
        <w:t>The completion of the LSR for the new UNE order will start the billing of the UNE circuit.  Notifications for the LSR will be sent BAU (FOC, SOC, &amp; PTB)</w:t>
      </w:r>
      <w:r w:rsidRPr="006619E9">
        <w:t>.</w:t>
      </w:r>
    </w:p>
    <w:p w14:paraId="0DD715B5" w14:textId="77777777" w:rsidR="00C336F9" w:rsidRPr="006619E9" w:rsidRDefault="00C336F9" w:rsidP="00C336F9"/>
    <w:p w14:paraId="0F686672" w14:textId="77777777" w:rsidR="00C336F9" w:rsidRPr="006619E9" w:rsidRDefault="00C336F9" w:rsidP="00C336F9"/>
    <w:p w14:paraId="332EE4E7" w14:textId="77777777" w:rsidR="00C336F9" w:rsidRPr="006619E9" w:rsidRDefault="00C336F9" w:rsidP="00C336F9">
      <w:pPr>
        <w:pStyle w:val="Heading1"/>
      </w:pPr>
      <w:r>
        <w:t xml:space="preserve">III. </w:t>
      </w:r>
      <w:r w:rsidRPr="006619E9">
        <w:t>Billing</w:t>
      </w:r>
    </w:p>
    <w:p w14:paraId="29104251" w14:textId="77777777" w:rsidR="00C336F9" w:rsidRPr="006619E9" w:rsidRDefault="00C336F9" w:rsidP="00C336F9"/>
    <w:p w14:paraId="6FCCF371" w14:textId="77777777" w:rsidR="00C336F9" w:rsidRPr="0039350D" w:rsidRDefault="00C336F9" w:rsidP="00C336F9">
      <w:pPr>
        <w:numPr>
          <w:ilvl w:val="0"/>
          <w:numId w:val="1"/>
        </w:numPr>
      </w:pPr>
      <w:r w:rsidRPr="006619E9">
        <w:t>Termination liability, if applicable, will be billed at the time of reconfiguration of the Special Access circuit.</w:t>
      </w:r>
    </w:p>
    <w:p w14:paraId="24A423F9" w14:textId="77777777" w:rsidR="00C336F9" w:rsidRPr="006619E9" w:rsidRDefault="00C336F9" w:rsidP="00C336F9"/>
    <w:p w14:paraId="4804CCEA" w14:textId="77777777" w:rsidR="00C336F9" w:rsidRPr="006619E9" w:rsidRDefault="00C336F9" w:rsidP="00C336F9">
      <w:pPr>
        <w:rPr>
          <w:rStyle w:val="Heading1Char"/>
        </w:rPr>
      </w:pPr>
      <w:bookmarkStart w:id="1" w:name="_Toc491683859"/>
      <w:r>
        <w:rPr>
          <w:rStyle w:val="Heading1Char"/>
        </w:rPr>
        <w:t xml:space="preserve">IV. </w:t>
      </w:r>
      <w:r w:rsidRPr="006619E9">
        <w:rPr>
          <w:rStyle w:val="Heading1Char"/>
        </w:rPr>
        <w:t xml:space="preserve">Switched Access and Local Interconnection </w:t>
      </w:r>
      <w:proofErr w:type="spellStart"/>
      <w:r w:rsidRPr="006619E9">
        <w:rPr>
          <w:rStyle w:val="Heading1Char"/>
        </w:rPr>
        <w:t>Trunking</w:t>
      </w:r>
      <w:bookmarkEnd w:id="1"/>
      <w:proofErr w:type="spellEnd"/>
    </w:p>
    <w:p w14:paraId="7B361574" w14:textId="77777777" w:rsidR="00C336F9" w:rsidRPr="006619E9" w:rsidRDefault="00C336F9" w:rsidP="00C336F9"/>
    <w:p w14:paraId="64E20B49" w14:textId="77777777" w:rsidR="00C336F9" w:rsidRPr="0039350D" w:rsidRDefault="00C336F9" w:rsidP="00C336F9">
      <w:pPr>
        <w:numPr>
          <w:ilvl w:val="0"/>
          <w:numId w:val="1"/>
        </w:numPr>
      </w:pPr>
      <w:r w:rsidRPr="006619E9">
        <w:t>When Switched Access trunks ride channelized Special Access circuits, the Switched trunks must be groomed off the Special Access circuit before it can be reconfigured.</w:t>
      </w:r>
    </w:p>
    <w:p w14:paraId="4ED7CB02" w14:textId="77777777" w:rsidR="00C336F9" w:rsidRPr="0039350D" w:rsidRDefault="00C336F9" w:rsidP="00C336F9">
      <w:pPr>
        <w:numPr>
          <w:ilvl w:val="0"/>
          <w:numId w:val="1"/>
        </w:numPr>
      </w:pPr>
      <w:r w:rsidRPr="006619E9">
        <w:t>If Switched Access trunks ride a Switched Access higher speed circuit, the trunks must be groomed off, and the circuit converted to Special Access before it can be reconfigured.</w:t>
      </w:r>
    </w:p>
    <w:p w14:paraId="339DEFE4" w14:textId="77777777" w:rsidR="005E7C9C" w:rsidRDefault="005E7C9C">
      <w:bookmarkStart w:id="2" w:name="_GoBack"/>
      <w:bookmarkEnd w:id="2"/>
    </w:p>
    <w:sectPr w:rsidR="005E7C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7D22"/>
    <w:multiLevelType w:val="hybridMultilevel"/>
    <w:tmpl w:val="9D900E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92162E"/>
    <w:multiLevelType w:val="hybridMultilevel"/>
    <w:tmpl w:val="48B0D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33196E"/>
    <w:multiLevelType w:val="hybridMultilevel"/>
    <w:tmpl w:val="955A3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EC3DD4"/>
    <w:multiLevelType w:val="hybridMultilevel"/>
    <w:tmpl w:val="BD6EA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C207D6"/>
    <w:multiLevelType w:val="hybridMultilevel"/>
    <w:tmpl w:val="A456F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9"/>
    <w:rsid w:val="005E7C9C"/>
    <w:rsid w:val="00C3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9926"/>
  <w15:chartTrackingRefBased/>
  <w15:docId w15:val="{AC755CB2-A9C7-4890-9C47-E068B691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6F9"/>
    <w:pPr>
      <w:spacing w:after="0" w:line="240" w:lineRule="auto"/>
    </w:pPr>
    <w:rPr>
      <w:rFonts w:ascii="Verdana" w:eastAsia="Times New Roman" w:hAnsi="Verdana" w:cs="Times New Roman"/>
      <w:color w:val="000000"/>
      <w:sz w:val="20"/>
      <w:szCs w:val="20"/>
    </w:rPr>
  </w:style>
  <w:style w:type="paragraph" w:styleId="Heading1">
    <w:name w:val="heading 1"/>
    <w:basedOn w:val="Normal"/>
    <w:next w:val="Normal"/>
    <w:link w:val="Heading1Char"/>
    <w:qFormat/>
    <w:rsid w:val="00C336F9"/>
    <w:pPr>
      <w:keepNext/>
      <w:outlineLvl w:val="0"/>
    </w:pPr>
    <w:rPr>
      <w:b/>
      <w:color w:val="auto"/>
    </w:rPr>
  </w:style>
  <w:style w:type="paragraph" w:styleId="Heading2">
    <w:name w:val="heading 2"/>
    <w:basedOn w:val="Normal"/>
    <w:next w:val="Normal"/>
    <w:link w:val="Heading2Char"/>
    <w:qFormat/>
    <w:rsid w:val="00C336F9"/>
    <w:pPr>
      <w:keepNext/>
      <w:outlineLvl w:val="1"/>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6F9"/>
    <w:rPr>
      <w:rFonts w:ascii="Verdana" w:eastAsia="Times New Roman" w:hAnsi="Verdana" w:cs="Times New Roman"/>
      <w:b/>
      <w:sz w:val="20"/>
      <w:szCs w:val="20"/>
    </w:rPr>
  </w:style>
  <w:style w:type="character" w:customStyle="1" w:styleId="Heading2Char">
    <w:name w:val="Heading 2 Char"/>
    <w:basedOn w:val="DefaultParagraphFont"/>
    <w:link w:val="Heading2"/>
    <w:rsid w:val="00C336F9"/>
    <w:rPr>
      <w:rFonts w:ascii="Verdana" w:eastAsia="Times New Roman"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ROMBOY, KARL D</dc:creator>
  <cp:keywords/>
  <dc:description/>
  <cp:lastModifiedBy>ROMBOY, KARL D</cp:lastModifiedBy>
  <cp:revision>1</cp:revision>
  <dcterms:created xsi:type="dcterms:W3CDTF">2018-08-02T12:17:00Z</dcterms:created>
  <dcterms:modified xsi:type="dcterms:W3CDTF">2018-08-02T12:17:00Z</dcterms:modified>
</cp:coreProperties>
</file>